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C" w:rsidRPr="00CF00FC" w:rsidRDefault="00CF00FC" w:rsidP="00CF00F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mallCaps/>
          <w:color w:val="FF0000"/>
          <w:sz w:val="36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color w:val="FF0000"/>
          <w:sz w:val="36"/>
          <w:szCs w:val="24"/>
          <w:lang w:eastAsia="pt-BR"/>
        </w:rPr>
        <w:t>Alegria</w:t>
      </w:r>
    </w:p>
    <w:p w:rsidR="00CF00FC" w:rsidRPr="00CF00FC" w:rsidRDefault="00CF00FC" w:rsidP="00CF00FC">
      <w:pPr>
        <w:spacing w:after="0" w:line="240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iCs/>
          <w:sz w:val="24"/>
          <w:szCs w:val="24"/>
          <w:lang w:eastAsia="pt-BR"/>
        </w:rPr>
        <w:t>Tito Max Rodríguez</w:t>
      </w:r>
    </w:p>
    <w:p w:rsidR="00CF00FC" w:rsidRPr="00CF00FC" w:rsidRDefault="00CF00FC" w:rsidP="00CF00F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No sentido profano para ela, no Antigo e Novo Testamentos, a alegria é um bem como a vida e a saúde.  Enquanto que seu contrário, a tristeza, é um mal como a enfermidade.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Provérbios 17:22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O coração alegre.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Para o médico Lucas, a tristeza entumece até os sentidos, provocando o sono.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Lucas 22:45.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E segundo o apóstolo JOÃO, amortece a curiosidade do homem pelo saber.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João 16:5-6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O gozo é natural ao homem e a mulher nos acontecimentos agradáveis, tais como a vitória, a colheita, as bodas, o nascimento de um filho.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No Antigo Testamento, era proverbial o regozijo das vitórias e festas patrióticas, sempre cheias de intenso fervor religioso, ao ser atribuídas a Deus de Israel e serem por Ele prescritas.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Êxodo 14:12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“E este dia vos será por festa ao Senhor, nas vossas gerações o celebrareis por estatuto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perpétuo.”</w:t>
      </w:r>
      <w:proofErr w:type="gramEnd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Deuteronômio 16:14-15 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– “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Alegrar-te´-ás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na tua festa, tu, e teu filho, e tua filha e o teu servo, e a tua serva, e o levita, e o estrangeiro, e o órfão e a viúva, que estão dentro das tuas cidades.  Sete dias celebrarás a festa ao Senhor teu Deus, no lugar que o Senhor escolher, porque o Senhor teu Deus há de abençoar-te em toda a tua colheita, e toda obra das tuas mãos, pelo que de todo te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alegrarás.”</w:t>
      </w:r>
      <w:proofErr w:type="gramEnd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Insistimos que a alegria é de caráter sagrado.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I</w:t>
      </w: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ab/>
        <w:t>Antigo Testamento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 fonte inesgotável de onde brota é sempre Deus, Sua lei, Seu templo, Sua bondade e proteção; seria preciso transcrever todos os salmos para comprovar como não há outra alegria verdadeira que a do justo... precisamente porque está unido a Deus com o afeto do coração e a guarda dos mandamentos.  Deus é sempre quem, com Seu perdão e misericórdia faz florescer “o gozo, a alegria e a exultação”, no coração do justo ou do pecador arrependido.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Salmo 51:10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“Cria em mim, ó Deus um coração limpo, e renova dentro de mim, um espírito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reto.”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Merece consideração especial a alegria que ilumina o olhar dos profetas e tensa sua voz quando descrevem o futuro glorioso de seu povo.  E na visão da volta do desterro os anima intimamente.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lastRenderedPageBreak/>
        <w:t xml:space="preserve">Em Jeremias, predomina a nota de intimidade: “Assim diz o Senhor... E os purificarei de toda maldade... e perdoarei todas as suas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iniqüidades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....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me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servirá de nome de alegria, de louvor, e de glória... que ouvirem todo o bem que eu lhe faço...”.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Jeremias 33:1-8-9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A última parte de Isaías descreve uma alegria religiosa que transcende os sentimentos pessoais do indivíduo para ser social e cósmica, porque repercute na natureza toda:  “Exultai, ó Céus, e alegra-te tu, terra, e vós, montes, estalai de júbilo, porque o Senhor consolou o Seu povo, e dos Seus aflitos se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compadecerá.”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Isaías 49:13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“Clamai, cantando, exultai juntamente, desertos de Jerusalém, porque o Senhor consolou o Seu povo, remiu a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Jerusalém.”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Isaías 52:9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“Assim voltarão os resgatados do Senhor, e virão a Sião com júbilo, e perpétua alegria haverá sobre as suas cabeças; gozo e alegria alcançarão, a tristeza e o gemido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fugirão.”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Isaías 51:11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“Mas vós folgareis e exultareis perpetuamente no que eu crio; porque eis que crio para Jerusalém a alegria e para seu povo gozo.  E folgarei em Jerusalém, e exultarei no Meu povo, e nunca mais se ouvirá nela voz de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clamor.”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Isaías 65:18-19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II</w:t>
      </w: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ab/>
        <w:t>Novo Testamento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São três os autores que mais falam sobre o tema da alegria.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São Lucas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A esperança no prêmio é o grande motivo e apoio do sentimento gozoso.  “Folgai nesse dia, exultai; porque, eis que é grande vosso galardão no céu...” 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Lucas 6:23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A alegria de Lucas não é sentimento fictício, fenômeno de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auto sugestão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, senão fruto do dinamismo real e vital do Espírito que provoca Jesus em Seus fiéis.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Em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Atos 13:52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“E os discípulos estavam cheios de alegria e do Espírito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Santo.”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São Paulo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Homem profundamente temperamental e usando sempre o gênero literário das cartas, nada tem de estranho o uso abundante dos vocábulos a alegria e tristeza, em seus escritos.  Nunca fala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da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risada, ainda que dessa maneira conheça o encanto de um rosto serenamente jovial.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Romanos 12:8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“... o que exercita misericórdia, com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alegria.”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O apóstolo não conhece para a alegria, outra fonte que não seja Deus, nenhum outro mediador de gozo que Cristo, e em nós produz o Espírito.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Gálatas 5:22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“Mas o fruto do Espírito é: caridade, gozo, paz, longanimidade, benignidade, bondade, fé, mansidão,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temperança.”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Seu motivo é a esperança, Cristo mesmo, cuja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companhia  é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o essencial do Céu: “Estaremos sempre com o Senhor.”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 vida cristã vê sempre a luz serena da alegria que não pode nublar os contratempos e tribulações cotidianas.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São João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Ele inicia o Novo Testamento e também conclui o processo de cristianização da alegria que vai sempre intimamente relacionada com a pessoa de Jesus.  Isto aparece principalmente nos capítulos de despedida – </w:t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João 13:17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a ausência de Jesus é causa de tristeza, mas Seu alento secreto, Sua presença pela fé, e fidelidade dos discípulos, Seu triunfo e glorificação, junto ao Pai, devem ser outras tantas razões de júbilo.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 fidelidade amorosa ao Mestre fará um milagre de converter em gozo paradoxal todas as tristezas.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São João 16:20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“Na verdade, na verdade vos digo, que vós chorareis e vos lamentareis.  E o mundo se alegrará, e vós estareis tristes, mas a vossa tristeza se converterá em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alegria.”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São João 16:24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“Até agora nada me perguntareis.  Na verdade, na verdade vos digo que tudo quanto pedirdes a Meu Pai, em Meu nome, Ele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vo-lo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há de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dar.”</w:t>
      </w:r>
      <w:proofErr w:type="gramEnd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III</w:t>
      </w: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ab/>
        <w:t>Alegria e Saúde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Rir reduz o perigo das enfermidades.  O Globo do dia 24.06.1991, diz que o efeito é mesmo dos esportes, pesquisa realizada na Alemanha.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Bonn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“Rir ajuda muito a ser feliz e contribui para melhorar a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saúde.”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De acordo com uma experiência clínica, realizada por Franz Joseph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, o Departamento de Psicologia da Universidade de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Duseldorf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, na Alemanha, rir é tão bom para o organismo como praticar esportes.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Como acaba de divulgar a revista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méica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Zeitschriff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fur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Psychopatologie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, o cientista conseguiu também provar que gargalhar, pode não ser elegante, mas faz bem.  As gargalhadas fortalecem o sistema respiratório, o circulatório e incentivam a liberação da endorfina. 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estudou 80 voluntários.  Ao rir, uma pessoa exercita cordas vocais e músculos faciais.  Cada um tem um modo único de rir, mas todos conseguem o mesmo tipo de efeito benéfico com pelo menos uma gargalhada por dia.”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Um simples filme cômico, exibido aos voluntários em uma sala fechada da Universidade, já foi suficiente para reforçar seu sistema 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lastRenderedPageBreak/>
        <w:t xml:space="preserve">imunológico.  Alguns minutos depois das primeiras risadas, a maior parte apresentava um valor mais alto de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imunoglobina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a (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IgA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).  Trata-se de uma substância que ajuda os linfócitos na luta constante contra os agentes que provocam enfermidades, e é por isso, conclui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, que quem ri mais, fica menos doente.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 xml:space="preserve">Outra mudança em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conseqüência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das risadas é o aumento de atividade das chamadas células assassinas naturais, agregou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.  Elas atacam invasores como vírus e bactérias que penetram no organismo. 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supõe também que as pessoas que dão risadas com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freqüência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correm menor perigo de contrair câncer.  De acordo com </w:t>
      </w:r>
      <w:proofErr w:type="spell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Hehl</w:t>
      </w:r>
      <w:proofErr w:type="spell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, até as dores de cabeça são mais fortes para as pessoas como os deprimidos, que não conseguem rir facilmente.  – </w:t>
      </w: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Daniel </w:t>
      </w:r>
      <w:proofErr w:type="spell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Godri</w:t>
      </w:r>
      <w:proofErr w:type="spellEnd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IV</w:t>
      </w: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ab/>
        <w:t>A Alegria e o Espírito de Profecia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“A fim de que tenhamos saúde perfeita, nosso coração deve estar cheio de esperança, amor e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alegria.”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EGW, Mente, Caráter e Personalidade, Vol. I, p. 403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“O amor difundido por Cristo por todo o ser, é um poder vitalizante.  Todo órgão vital – o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cérebro,  o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coração, os nervos – esse amor toca, transmitindo cura.  Por ele são despertadas as mais altas energias do ser para a atividade.  Liberta a alma da culpa e da dor, da ansiedade e do cuidado que consomem as forças vitais.  Vem com ele serenidade e compostura.  Implanta na alma uma alegria que coisa alguma terrestre pode destruir – a alegria no Espírito Santo – a alegria que comunica saúde e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vida.”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Idem, p. 66.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“O ânimo, a esperança, a fé, a simpatia e o amor promovem a saúde e prolongam a vida.  Um espírito contente, animoso, é saúde para o corpo e força para a alma.  O coração alegre serve de bom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remédio.”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EGW, A Ciência do Bom Viver, p. 241.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“Cristo é a fonte da vida... Quando a luz solar do amor de Deus ilumina as mais escuras câmaras da alma, cessam o desassossego, a fadiga e o descontentamento, e satisfatórias alegrias virão dar vigor à mente, saúde e energia ao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corpo.”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Idem, p. 247.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“Coisa alguma tende mais a promover a saúde do corpo e da alma, do que um espírito de gratidão e louvor.  É positivo dever resistir à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</w:t>
      </w: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melancolia, às </w:t>
      </w:r>
      <w:proofErr w:type="spell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idéias</w:t>
      </w:r>
      <w:proofErr w:type="spell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e sentimentos de descontentamento – dever tão grande como é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orar.”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Idem, p. 251.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“Quando a mente está livre e satisfeita por um sentimento do dever cumprido e o prazer de proporcionar felicidade a outros, a animadora e nobilitante influência traz vida nova a todo o ser.”  Idem, p. 257.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lastRenderedPageBreak/>
        <w:t xml:space="preserve">“A consciência de proceder bem é um dos melhores medicamentos para corpos e mentes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enfermos.”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Idem, p. 257.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“Se a mente estiver livre e feliz pela convicção de estar praticando a justiça e pelo senso da satisfação de tornar outros felizes, ocasionará uma alegria que agirá sobre o físico todo, produzindo uma circulação livre do sangue e a tonificação do corpo todo.  A bênção de Deus é a cura; e os que são pródigos em beneficiar a outros notarão essa bênção maravilhosa em seu coração e em sua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vida.”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 EGW, Medicina e Salvação, p. 105.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Ilustração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Um próspero homem de negócios começou a sentir sua vida plenamente vazia e infeliz.  Depois de visitar o psicólogo, decidiu aceitar o conselho deste; de ajudar a alguém como o melhor remédio para seus males.  Foi a uma estação terminal de ferro e ali rodou durante várias horas.  Sem saber o que fazer, para colocar em prática o conselho, não achou ninguém a quem ajudar.  Por fim, observou uma velhinha que parecia completamente desorientada e aflita.  Enchendo-se de coragem, aproximou-se dela e perguntou se poderia ajuda-la em alguma coisa.  A velhinha imediatamente contou que acabava de chegar do interior para visitar sua filha que vivia na cidade e para fazer-lhe uma surpresa, havia chegado sem avisar; mas que não havia encontrado sua filha no endereço que tinha em mãos e estava desconsolada.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Nosso homem levou a velhinha até um posto telefônico, ao Correio, até chegar finalmente ao endereço perdido.  Chamou um táxi, ajudou a velhinha a subir, sentou-se ao seu lado, acompanhando-a até a estreita rua, em um subúrbio da cidade.  No caminho, deteve-se em uma floricultura para comprar umas rosas que entregou à velhinha.  Esta, estava tão feliz pelas atenções que recebeu do desconhecido.  Por fim, deixou-a na casa de sua filha e voltou para sua residência.  Dali, ligou para o seu médico e disse-lhe:  “Doutor, sinto-me muito bem, encontrei o caminho da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felicidade.”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Provérbios 17:22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“O coração alegre constitui um bom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remédio.”</w:t>
      </w:r>
      <w:proofErr w:type="gramEnd"/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V</w:t>
      </w: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ab/>
        <w:t>Jesus era Alegre?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“Muitos tem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idéias</w:t>
      </w:r>
      <w:proofErr w:type="spell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errôneas a respeito da vida e do caráter de Cristo.  Pensam que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faltava-lhe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calor e alegria, que era austero, severo e triste.  Para muitos toda a vida religiosa se apresenta sob este aspecto sombrio.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ab/>
        <w:t xml:space="preserve">Diz-se que Jesus chorou, mas nunca se supõe que tenha sorrido.  Nosso Salvador foi, na verdade um varão de dores e experimentado, porque abriu o Seu coração à todas as misérias dos homens.  Mas, ainda que foi uma vida de abnegação, dores e cuidados, Seu espírito </w:t>
      </w: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lastRenderedPageBreak/>
        <w:t>não se fixou neles.  Em Seu rosto não se via uma expressão de amargura ou queixa, senão sempre de paz e serenidade.  Seu coração era um manancial de vida. E onde ia, levava descanso e paz, gozo e alegria.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ab/>
        <w:t xml:space="preserve">Nosso Salvador foi profundo e intensamente fervoroso, mas nunca sombrio ou duro.  A vida dos que O imitam estará por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certo cheia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de propósitos sérios, eles terão um profundo sentido de sua responsabilidade pessoal.  Reprimirão a leviandade, entre eles não haverá júbilo tumultuoso nem gracejos, mas a religião do Senhor Jesus dá paz como um rio.  Não extingue a luz do gozo, não impede a jovialidade, nem obscurece o rosto alegre e sorridente.  Cristo não veio para ser servido, mas para servir; e quando Seu amor reinar em nosso coração, seguiremos Seu </w:t>
      </w: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exemplo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.”</w:t>
      </w:r>
      <w:proofErr w:type="gramEnd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 </w:t>
      </w:r>
      <w:r w:rsidRPr="00CF00FC">
        <w:rPr>
          <w:rFonts w:ascii="Trebuchet MS" w:eastAsia="Times New Roman" w:hAnsi="Trebuchet MS" w:cs="Times New Roman"/>
          <w:b/>
          <w:i/>
          <w:iCs/>
          <w:sz w:val="24"/>
          <w:szCs w:val="24"/>
          <w:lang w:eastAsia="pt-BR"/>
        </w:rPr>
        <w:t>EGW, Caminho para Cristo, p. 120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mallCaps/>
          <w:sz w:val="24"/>
          <w:szCs w:val="24"/>
          <w:lang w:eastAsia="pt-BR"/>
        </w:rPr>
        <w:t>Conclusão</w:t>
      </w:r>
    </w:p>
    <w:p w:rsidR="00CF00FC" w:rsidRPr="00CF00FC" w:rsidRDefault="00CF00FC" w:rsidP="00CF00F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I Tessalonicenses 5:16 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– “Regozijai-vos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sempre.”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Nosso exemplo supremo é Jesus.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São João 10:10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“Eu vim para que tenham vida, e a tenham em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abundância.”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Nossa vida é nossa alegria e deve ser compartilhada.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Paulo depois de haver vivido uma vida de orgulho, compreendeu que isso não tinha valor.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</w: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Gálatas 2:20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“Mas Cristo vive em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mim.”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ab/>
        <w:t>Nada podia separa-lo do amor de Cristo.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Romanos 8:35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 ler.</w:t>
      </w: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Provérbios 10:28</w:t>
      </w:r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 – “A esperança dos justos é a </w:t>
      </w:r>
      <w:proofErr w:type="gramStart"/>
      <w:r w:rsidRPr="00CF00FC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alegria.”</w:t>
      </w:r>
      <w:proofErr w:type="gramEnd"/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F00FC" w:rsidRPr="00CF00FC" w:rsidRDefault="00CF00FC" w:rsidP="00CF00FC">
      <w:pPr>
        <w:spacing w:after="0" w:line="240" w:lineRule="auto"/>
        <w:jc w:val="right"/>
        <w:rPr>
          <w:rFonts w:ascii="Trebuchet MS" w:eastAsia="Times New Roman" w:hAnsi="Trebuchet MS" w:cs="Times New Roman"/>
          <w:b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i/>
          <w:iCs/>
          <w:sz w:val="24"/>
          <w:szCs w:val="24"/>
          <w:lang w:eastAsia="pt-BR"/>
        </w:rPr>
        <w:t>Tito Max Rodríguez</w:t>
      </w:r>
    </w:p>
    <w:p w:rsidR="00CF00FC" w:rsidRPr="00CF00FC" w:rsidRDefault="00CF00FC" w:rsidP="00CF00FC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proofErr w:type="gramStart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Ministério  da</w:t>
      </w:r>
      <w:proofErr w:type="gramEnd"/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Saúde </w:t>
      </w:r>
    </w:p>
    <w:p w:rsidR="00CF00FC" w:rsidRPr="00CF00FC" w:rsidRDefault="00CF00FC" w:rsidP="00CF00FC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CF00F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ab/>
        <w:t>Divisão Sul-Americana</w:t>
      </w:r>
    </w:p>
    <w:sectPr w:rsidR="00CF00FC" w:rsidRPr="00CF00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97" w:rsidRDefault="00BB4197" w:rsidP="000F3338">
      <w:pPr>
        <w:spacing w:after="0" w:line="240" w:lineRule="auto"/>
      </w:pPr>
      <w:r>
        <w:separator/>
      </w:r>
    </w:p>
  </w:endnote>
  <w:endnote w:type="continuationSeparator" w:id="0">
    <w:p w:rsidR="00BB4197" w:rsidRDefault="00BB4197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CF00FC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CF00FC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CF00FC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CF00FC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CF00FC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CF00FC">
                            <w:t>www.4tons.com.br</w:t>
                          </w:r>
                        </w:p>
                      </w:sdtContent>
                    </w:sdt>
                    <w:p w:rsidR="000F3338" w:rsidRPr="00CF00FC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CF00FC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CF00F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F00F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F00F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00FC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CF00F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CF00FC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CF00F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CF00F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CF00F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CF00FC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6</w:t>
                    </w:r>
                    <w:r w:rsidRPr="00CF00F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97" w:rsidRDefault="00BB4197" w:rsidP="000F3338">
      <w:pPr>
        <w:spacing w:after="0" w:line="240" w:lineRule="auto"/>
      </w:pPr>
      <w:r>
        <w:separator/>
      </w:r>
    </w:p>
  </w:footnote>
  <w:footnote w:type="continuationSeparator" w:id="0">
    <w:p w:rsidR="00BB4197" w:rsidRDefault="00BB4197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F00FC" w:rsidRDefault="00BB4197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CF00FC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CF00FC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F00FC" w:rsidRDefault="00BB4197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CF00FC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CF00FC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CF00FC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CF00FC" w:rsidRPr="00CF00FC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6</w:t>
                          </w:r>
                          <w:r w:rsidRPr="00CF00F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CF00FC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CF00FC" w:rsidRPr="00CF00FC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6</w:t>
                    </w:r>
                    <w:r w:rsidRPr="00CF00FC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373627"/>
    <w:rsid w:val="00390FF0"/>
    <w:rsid w:val="00471C8C"/>
    <w:rsid w:val="005B4694"/>
    <w:rsid w:val="0073162C"/>
    <w:rsid w:val="008269C9"/>
    <w:rsid w:val="008C413E"/>
    <w:rsid w:val="00AF15E3"/>
    <w:rsid w:val="00BB4197"/>
    <w:rsid w:val="00C50697"/>
    <w:rsid w:val="00CF00FC"/>
    <w:rsid w:val="00D7260E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1994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2019-08-24T21:22:00Z</dcterms:modified>
  <cp:category>SM-SAÚDE</cp:category>
</cp:coreProperties>
</file>