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C2" w:rsidRPr="005951C2" w:rsidRDefault="005951C2" w:rsidP="005951C2">
      <w:pPr>
        <w:keepNext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8"/>
          <w:lang w:eastAsia="pt-BR"/>
        </w:rPr>
      </w:pPr>
      <w:r w:rsidRPr="005951C2"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8"/>
          <w:lang w:eastAsia="pt-BR"/>
        </w:rPr>
        <w:t>Osteoporose</w:t>
      </w:r>
    </w:p>
    <w:p w:rsidR="005951C2" w:rsidRPr="005951C2" w:rsidRDefault="005951C2" w:rsidP="005951C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5951C2" w:rsidRPr="005951C2" w:rsidRDefault="005951C2" w:rsidP="005951C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5951C2" w:rsidRPr="005951C2" w:rsidRDefault="005951C2" w:rsidP="005951C2">
      <w:pPr>
        <w:spacing w:before="100" w:beforeAutospacing="1" w:after="100" w:afterAutospacing="1" w:line="240" w:lineRule="auto"/>
        <w:rPr>
          <w:rFonts w:ascii="Trebuchet MS" w:eastAsia="Arial Unicode MS" w:hAnsi="Trebuchet MS" w:cs="Arial Unicode MS"/>
          <w:i/>
          <w:iCs/>
          <w:sz w:val="24"/>
          <w:szCs w:val="24"/>
          <w:lang w:eastAsia="pt-BR"/>
        </w:rPr>
      </w:pPr>
      <w:r w:rsidRPr="005951C2">
        <w:rPr>
          <w:rFonts w:ascii="Trebuchet MS" w:eastAsia="Arial Unicode MS" w:hAnsi="Trebuchet MS" w:cs="Arial Unicode MS"/>
          <w:noProof/>
          <w:sz w:val="24"/>
          <w:szCs w:val="24"/>
          <w:lang w:eastAsia="pt-BR"/>
        </w:rPr>
        <w:drawing>
          <wp:anchor distT="19050" distB="19050" distL="95250" distR="95250" simplePos="0" relativeHeight="251659264" behindDoc="0" locked="0" layoutInCell="1" allowOverlap="0" wp14:anchorId="5E05A5BB" wp14:editId="19B3D7E5">
            <wp:simplePos x="0" y="0"/>
            <wp:positionH relativeFrom="column">
              <wp:posOffset>0</wp:posOffset>
            </wp:positionH>
            <wp:positionV relativeFrom="line">
              <wp:posOffset>64770</wp:posOffset>
            </wp:positionV>
            <wp:extent cx="952500" cy="952500"/>
            <wp:effectExtent l="0" t="0" r="0" b="0"/>
            <wp:wrapSquare wrapText="bothSides"/>
            <wp:docPr id="9" name="Imagem 9" descr="capa_densi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a_densit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Osteoporose é uma doença resultante da perda da massa óssea que ocorre naturalmente com o envelhecimento em todas as pessoas, seja homem ou mulher. Entretanto, como a menopausa exerce uma grande influência no seu agravamento, ela acaba sendo conhecida como doença de mulher idosa.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O esqueleto ósseo é um tecido vivo que está em constante renovação. Nos primeiros anos de vida, durante a infância e a adolescência, predomina o processo de formação óssea, enquanto que, a partir dos quarenta anos, começa a predominar a reabsorção óssea. O processo de </w:t>
      </w:r>
      <w:bookmarkStart w:id="0" w:name="_GoBack"/>
      <w:bookmarkEnd w:id="0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renovação diária ocorre através da ingesta de alimentos com cálcio e da excreção dos cálcios pela urina. Quando há falta de cálcio circulante (seja por ingestão insuficiente ou pela necessidade adicional como na gravidez e lactação), o organismo começa a retirar o cálcio presente nos ossos para manter o nível circulante normal, diminuindo assim a massa óssea. Esta perda óssea é maior entre as mulheres durante os cinco anos seguintes à menopausa, devido a perda do fator protetor que é o hormônio estrogênio. Após os setenta anos começa a ocorrer uma outra forma de osteoporose, chamada de osteoporose senil, que acomete de forma igual homens e mulheres, causada pelo próprio envelhecimento.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A diminuição da massa óssea, mesmo em níveis características de osteoporose, nem sempre acarreta problemas ou limita as atividades físicas da pessoa. Ela não apresenta dor, salvo raras exceções. Entretanto, ela é um fator de risco para fraturas no punho, úmero (osso do braço), vértebras, costelas, e, principalmente, a do colo do fêmur (osso da coxa). Isto por que a diminuição da densidade do osso o deixa mais frágil, mais susceptível a fraturas. Estas fraturas, por sua vez, acabam complicando a saúde do idoso pois metade das pessoas idosas com fraturas no fêmur passam a ter limitações e até dificuldade de locomoção e aumento do tempo de permanência na cama aumenta muito os riscos de infecções respiratórias, de problemas circulatórias e a mortalidade do idoso.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A densidade dos ossos é avaliada através de um exame chamado densitometria óssea. Ele é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um exame computadorizado, feito com uma dosagem mínima de raio X, formando uma fotografia colorida dos ossos. O exame deve ser feito depois dos 45 anos ou após a menopausa e repetido todos os anos. Pode apresentar como resultados: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NORMAL: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A densidade óssea é considerada normal para a faixa etária.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OSTEOPENIA: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Está ocorrendo uma perda óssea, estando em um estágio prévio à osteoporose, o tratamento deve ser iniciado antes que evolua a doença para osteoporose.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OSTEOPOROSE: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A osteoporose está diagnosticada.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OSTEOPOROSE AVANÇADA: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Nesta fase o risco de fraturas está muito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lastRenderedPageBreak/>
        <w:t xml:space="preserve">aumentado.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Uma nova técnica preventiva utiliza a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ultrassonometria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óssea. Através de uma espécie de scanner, ela examina, minuciosamente, a estrutura óssea do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paciente,podendo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permitir o diagnóstico de forma mais precoce.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Entre os fatores que aumentam os riscos de osteoporose, podemos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dividí-los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em dois grupos: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- os que não são possíveis de correções, como: sexo feminino, indivíduo com baixa estatura, raça branca e asiática, idade avançada e história familiar.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- os que podem ser modificados como: fumo, deficiência de estrógeno, baixo peso, sedentarismo, ingestão insuficiente de cálcio.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A prevenção da osteoporose pode ser feita evitando os fatores do segundo grupo. Pode-se parar o fumo, repor a deficiência de estrógeno, como a terapia de reposição hormonal na menopausa, praticar exercícios físicos e ingerir quantidades adequadas de cálcio. Os alimentos que contém cálcio são: leite e derivados, sardinha, repolho crespo, folhas de nabo, folhas de mostarda, brócolis.</w:t>
      </w:r>
      <w:r w:rsidRPr="005951C2">
        <w:rPr>
          <w:rFonts w:ascii="Trebuchet MS" w:eastAsia="Arial Unicode MS" w:hAnsi="Trebuchet MS" w:cs="Arial Unicode MS"/>
          <w:i/>
          <w:iCs/>
          <w:sz w:val="24"/>
          <w:szCs w:val="24"/>
          <w:lang w:eastAsia="pt-BR"/>
        </w:rPr>
        <w:t xml:space="preserve"> </w:t>
      </w:r>
    </w:p>
    <w:p w:rsidR="005951C2" w:rsidRPr="005951C2" w:rsidRDefault="005951C2" w:rsidP="005951C2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eastAsia="pt-BR"/>
        </w:rPr>
      </w:pPr>
      <w:r w:rsidRPr="005951C2">
        <w:rPr>
          <w:rFonts w:ascii="Arial Unicode MS" w:eastAsia="Arial Unicode MS" w:hAnsi="Arial Unicode MS" w:cs="Arial Unicode MS"/>
          <w:sz w:val="24"/>
          <w:szCs w:val="24"/>
          <w:lang w:eastAsia="pt-BR"/>
        </w:rPr>
        <w:t>De Redação Agenda SAÚDE</w:t>
      </w:r>
    </w:p>
    <w:p w:rsidR="005951C2" w:rsidRPr="005951C2" w:rsidRDefault="005951C2" w:rsidP="005951C2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5951C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u w:val="single"/>
          <w:lang w:eastAsia="pt-BR"/>
        </w:rPr>
        <w:t>Vitaminas</w:t>
      </w:r>
    </w:p>
    <w:p w:rsidR="005951C2" w:rsidRPr="005951C2" w:rsidRDefault="005951C2" w:rsidP="005951C2">
      <w:pPr>
        <w:spacing w:before="100" w:beforeAutospacing="1" w:after="100" w:afterAutospacing="1" w:line="240" w:lineRule="auto"/>
        <w:rPr>
          <w:rFonts w:ascii="Trebuchet MS" w:eastAsia="Arial Unicode MS" w:hAnsi="Trebuchet MS" w:cs="Arial Unicode MS"/>
          <w:sz w:val="24"/>
          <w:szCs w:val="24"/>
          <w:lang w:eastAsia="pt-BR"/>
        </w:rPr>
      </w:pP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A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Visão, crescimento, desenvolvimento ósseo e formação de dentes, desenvolvimento e manutenção do tecido epitelial (beleza da pele e cabelo), imunidade, reprodução,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anti-cancerígeno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, proteção dos aparelhos respiratório e digestivo e sistema urinário.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Diversos alimentos de origem animal como óleo de fígado de peixe, fígado, gema de ovo, leite, óleo de dendê, cenoura, couve, espinafre, manteiga.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Cegueira noturna, alterações cutâneas.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Dor e fragilidade óssea, hidrocefalia e vômitos em crianças, pele seca com fissuras, unhas frágeis, perda de cabelo, gengivite, anorexia, irritabilidade, fadiga,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hepatomegalia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e função hepática anormal, ascite e hipertensão portal.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B1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(tiamina)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Respiração tecidual, metabolismo de carboidratos, gorduras e proteínas, participa da produção de energia necessária para o funcionamento dos nervos, músculos e coração.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lastRenderedPageBreak/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Alimentos de origem animal e vegetal: pão integral, carnes em geral, massas, arroz e cereais integrais, gema de ovo, fígado, coração, nozes, levedo de cerveja, germe de trigo.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Confusão mental, franqueza muscular, instabilidade emocional, depressão, irritabilidade, perda de apetite, letargia, beribéri (insuficiência cardíaca e manifestações nervosas).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</w:p>
    <w:p w:rsidR="005951C2" w:rsidRPr="005951C2" w:rsidRDefault="005951C2" w:rsidP="005951C2">
      <w:pPr>
        <w:spacing w:before="100" w:beforeAutospacing="1" w:after="100" w:afterAutospacing="1" w:line="240" w:lineRule="auto"/>
        <w:rPr>
          <w:rFonts w:ascii="Trebuchet MS" w:eastAsia="Arial Unicode MS" w:hAnsi="Trebuchet MS" w:cs="Arial Unicode MS"/>
          <w:sz w:val="24"/>
          <w:szCs w:val="24"/>
          <w:lang w:eastAsia="pt-BR"/>
        </w:rPr>
      </w:pP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B2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(riboflavina)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Crescimento, produção de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corticosteróides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, formação das células vermelhas do sangue,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gliconeogênese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e atividade reguladora das enzimas tireóideas, mantém as mucosas saudáveis.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Leite, ovos, fígado, coração, músculo de boi e aves, hortaliças de folhas verdes, levedo de cerveja, cereais integrais, cereais enriquecidos e germe de trigo.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Estomatite angular, lacrimejamento, queimação e coceira nos olhos, síndrome urogenital.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B6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(PIRIDOXINA)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Imunidade celular (ajuda a formar anticorpos), liberação de glicogênio hepático e muscular (produção de energia), diurético, útil para sistemas nervoso e digestivo, boa para pele.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Fígado, carnes, peixes, gema de ovo, cereais, pães integrais, banana, batata, frango, abacate, feijão, diversas frutas e legumes.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Anormalidades no sistema nervoso central, retardo mental, convulsões, anemia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hipocrômica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Insônia.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B12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Metabolismo celular, crescimento, produção de material genético dentro das células (para formação de novas células).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lastRenderedPageBreak/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Fígado, coração, gema de ovo, carnes vermelhas, queijos, peixe. Os vegetarianos precisam de suplementação desta vitamina.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Diminuição do crescimento, anemia e outros distúrbios sanguíneos e distúrbios no trato gastrointestinal.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Interfere na ação farmacológica de drogas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anticonvulsivas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C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Produção e manutenção do colágeno (integridade celular), cicatrização, absorção do ferro, preservação de ossos, dentes, gengivas e vasos sanguíneos, ajuda o sistema imunológico.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</w:p>
    <w:p w:rsidR="005951C2" w:rsidRPr="005951C2" w:rsidRDefault="005951C2" w:rsidP="005951C2">
      <w:pPr>
        <w:spacing w:before="100" w:beforeAutospacing="1" w:after="100" w:afterAutospacing="1" w:line="240" w:lineRule="auto"/>
        <w:rPr>
          <w:rFonts w:ascii="Trebuchet MS" w:eastAsia="Arial Unicode MS" w:hAnsi="Trebuchet MS" w:cs="Arial Unicode MS"/>
          <w:sz w:val="24"/>
          <w:szCs w:val="24"/>
          <w:lang w:eastAsia="pt-BR"/>
        </w:rPr>
      </w:pP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Frutas como: morango, laranja, limão, goiaba e acerola, hortaliças de folhas verdes, pimentão, tomate, batata. Consumir estes alimentos crus.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Fragilidade capilar, hemorragia, escorbuto.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Formação de cálculos de urato, cistina e oxalato (+ de 9 g/dia).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D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Absorção, mobilização e reabsorção de cálcio e fosfato, fortalece os ossos e dentes, auxilia na coagulação do sangue e fortalece os músculos e nervos.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Óleo de fígado de bacalhau, manteiga, fígado, gema de ovo, leite, salmão, atum e alguns cereais. A fonte principal, porém, é a luz solar, pois ela transforma a vitamina em forma ativa.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Raquitismo,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osteomalácia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Calcificação óssea excessiva, cálculos renais, calcificação metastática de partes moles (rins e pulmões),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hipercalcemia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cefaléia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, fraqueza, vômitos, náusea, constipação, poliúria,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polidipsia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E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Antioxidante, formação de novas hemácias e impede a sua destruição no sangue. Protege o revestimento de células pulmonares, retarda o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lastRenderedPageBreak/>
        <w:t>envelhecimento das células.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Germe de trigo, óleo de milho, sementes de algodão, girassol e soja, vegetais de folhas verdes, gema de ovo, margarina, cereais integrais, feijão, castanhas, peixes e carnes.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Fragilidade muscular, deposição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ceróide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no músculo liso,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creatinúria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, hemólise, reabsorção fetal, atrofia testicular, anormalidades embrionárias, distrofia muscular,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encefalomalácia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e necrose hepática.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Efeito anticoagulante e prolongamento do tempo de coagulação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sangüínea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Vitamina K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Processo de coagulação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sangüínea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Vegetais de folhas verdes, fígado, leite, nabo, iogurte, gema de ovo.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Hemorragia.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Anemia hemolítica,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hernicterus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em crianças.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 xml:space="preserve">NIACINA 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Componente de coenzimas relacionadas às enzimas respiratórias e vasodilatadoras, produção de energia a partir de gordura e carboidratos, ajuda no funcionamento do sistema nervoso e do aparelho digestivo.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Fígado, carnes magras, peixes, aves, trigo integral, amendoim, castanhas e feijão.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Fraqueza muscular, anorexia, indigestão, pelagra, estomatite angular, língua vermelha, lesões dermatológicas, perturbações mentais.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Formigamento e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enrubecimento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da pele, sensação de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latejamento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 xml:space="preserve"> na cabeça.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ÁCIDO FÓLICO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Funções: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Colabora na produção de material genético dentro das células; necessário ao crescimento e regeneração destas e à formação de novas hemácias na medula óssea; mantém saudável o sistema nervoso.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lastRenderedPageBreak/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Fontes: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>É uma das vitaminas do complexo B e encontra-se principalmente nos cogumelos, fígado, feijões, ervilhas, pão integral, espinafre, vegetais de folhas verdes, levedo de cerveja, cenoura, gema de ovo.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Deficiência: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Diminuição do crescimento, anemia megaloblástica e outros distúrbios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sangüíneos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, glossites e distúrbios no trato gastrointestinal.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</w: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Excesso:</w:t>
      </w:r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br/>
        <w:t xml:space="preserve">Interfere na ação farmacológica de drogas </w:t>
      </w:r>
      <w:proofErr w:type="spellStart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anticonvulsivas</w:t>
      </w:r>
      <w:proofErr w:type="spellEnd"/>
      <w:r w:rsidRPr="005951C2">
        <w:rPr>
          <w:rFonts w:ascii="Trebuchet MS" w:eastAsia="Arial Unicode MS" w:hAnsi="Trebuchet MS" w:cs="Arial Unicode MS"/>
          <w:sz w:val="24"/>
          <w:szCs w:val="24"/>
          <w:lang w:eastAsia="pt-BR"/>
        </w:rPr>
        <w:t>.</w:t>
      </w:r>
      <w:r w:rsidRPr="005951C2">
        <w:rPr>
          <w:rFonts w:ascii="Trebuchet MS" w:eastAsia="Arial Unicode MS" w:hAnsi="Trebuchet MS" w:cs="Arial Unicode MS"/>
          <w:i/>
          <w:iCs/>
          <w:sz w:val="24"/>
          <w:szCs w:val="24"/>
          <w:lang w:eastAsia="pt-BR"/>
        </w:rPr>
        <w:t xml:space="preserve"> </w:t>
      </w:r>
    </w:p>
    <w:p w:rsidR="005951C2" w:rsidRPr="005951C2" w:rsidRDefault="005951C2" w:rsidP="005951C2">
      <w:pPr>
        <w:spacing w:before="100" w:beforeAutospacing="1" w:after="100" w:afterAutospacing="1" w:line="240" w:lineRule="auto"/>
        <w:rPr>
          <w:rFonts w:ascii="Trebuchet MS" w:eastAsia="Arial Unicode MS" w:hAnsi="Trebuchet MS" w:cs="Arial Unicode MS"/>
          <w:sz w:val="24"/>
          <w:szCs w:val="24"/>
          <w:lang w:eastAsia="pt-BR"/>
        </w:rPr>
      </w:pPr>
      <w:r w:rsidRPr="005951C2">
        <w:rPr>
          <w:rFonts w:ascii="Trebuchet MS" w:eastAsia="Arial Unicode MS" w:hAnsi="Trebuchet MS" w:cs="Arial Unicode MS"/>
          <w:i/>
          <w:iCs/>
          <w:sz w:val="24"/>
          <w:szCs w:val="24"/>
          <w:lang w:eastAsia="pt-BR"/>
        </w:rPr>
        <w:t>De Redação Agenda SAÚDE</w:t>
      </w:r>
    </w:p>
    <w:p w:rsidR="005951C2" w:rsidRPr="005951C2" w:rsidRDefault="005951C2" w:rsidP="005951C2">
      <w:pPr>
        <w:spacing w:before="100" w:beforeAutospacing="1" w:after="100" w:afterAutospacing="1" w:line="240" w:lineRule="auto"/>
        <w:jc w:val="center"/>
        <w:rPr>
          <w:rFonts w:ascii="Trebuchet MS" w:eastAsia="Arial Unicode MS" w:hAnsi="Trebuchet MS" w:cs="Arial Unicode MS"/>
          <w:sz w:val="24"/>
          <w:szCs w:val="24"/>
          <w:lang w:eastAsia="pt-BR"/>
        </w:rPr>
      </w:pPr>
      <w:r w:rsidRPr="005951C2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Boletim Número 10 para Divulgação Interna nas Igrejas Adventistas do Sétimo Dia.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12" w:rsidRDefault="00927612" w:rsidP="000F3338">
      <w:pPr>
        <w:spacing w:after="0" w:line="240" w:lineRule="auto"/>
      </w:pPr>
      <w:r>
        <w:separator/>
      </w:r>
    </w:p>
  </w:endnote>
  <w:endnote w:type="continuationSeparator" w:id="0">
    <w:p w:rsidR="00927612" w:rsidRDefault="0092761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951C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951C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951C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951C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951C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951C2">
                            <w:t>www.4tons.com.br</w:t>
                          </w:r>
                        </w:p>
                      </w:sdtContent>
                    </w:sdt>
                    <w:p w:rsidR="000F3338" w:rsidRPr="005951C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951C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951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951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951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51C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951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951C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951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951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951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951C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5951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12" w:rsidRDefault="00927612" w:rsidP="000F3338">
      <w:pPr>
        <w:spacing w:after="0" w:line="240" w:lineRule="auto"/>
      </w:pPr>
      <w:r>
        <w:separator/>
      </w:r>
    </w:p>
  </w:footnote>
  <w:footnote w:type="continuationSeparator" w:id="0">
    <w:p w:rsidR="00927612" w:rsidRDefault="0092761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951C2" w:rsidRDefault="0092761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951C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951C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951C2" w:rsidRDefault="0092761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951C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951C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951C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951C2" w:rsidRPr="005951C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5951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951C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951C2" w:rsidRPr="005951C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5951C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951C2"/>
    <w:rsid w:val="005B4694"/>
    <w:rsid w:val="0073162C"/>
    <w:rsid w:val="008269C9"/>
    <w:rsid w:val="008C413E"/>
    <w:rsid w:val="00927612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5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51C2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2019-08-24T22:54:00Z</dcterms:modified>
  <cp:category>SM-SAÚDE</cp:category>
</cp:coreProperties>
</file>